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200"/>
        <w:jc w:val="center"/>
      </w:pPr>
      <w:r>
        <w:rPr>
          <w:rFonts w:ascii="Arial" w:cs="Arial" w:eastAsia="Arial" w:hAnsi="Arial"/>
          <w:b/>
          <w:bCs/>
          <w:color w:val="1A3A5C"/>
          <w:sz w:val="48"/>
          <w:szCs w:val="48"/>
        </w:rPr>
        <w:t xml:space="preserve">ADVANCED HOME CARE CONNECT</w:t>
      </w:r>
    </w:p>
    <w:p>
      <w:pPr>
        <w:spacing w:after="0" w:before="80"/>
        <w:jc w:val="center"/>
      </w:pPr>
      <w:r>
        <w:rPr>
          <w:rFonts w:ascii="Arial" w:cs="Arial" w:eastAsia="Arial" w:hAnsi="Arial"/>
          <w:color w:val="666666"/>
          <w:sz w:val="20"/>
          <w:szCs w:val="20"/>
        </w:rPr>
        <w:t xml:space="preserve">14904 Richmond Hwy, Suite 206  •  Woodbridge, VA 22191</w:t>
      </w:r>
    </w:p>
    <w:p>
      <w:pPr>
        <w:spacing w:after="0" w:before="400"/>
        <w:jc w:val="center"/>
      </w:pPr>
      <w:r>
        <w:rPr>
          <w:rFonts w:ascii="Arial" w:cs="Arial" w:eastAsia="Arial" w:hAnsi="Arial"/>
          <w:b/>
          <w:bCs/>
          <w:color w:val="C9A84C"/>
          <w:sz w:val="36"/>
          <w:szCs w:val="36"/>
        </w:rPr>
        <w:t xml:space="preserve">PART 2 OF 3</w:t>
      </w:r>
    </w:p>
    <w:p>
      <w:pPr>
        <w:spacing w:after="0" w:before="80"/>
        <w:jc w:val="center"/>
      </w:pPr>
      <w:r>
        <w:rPr>
          <w:rFonts w:ascii="Arial" w:cs="Arial" w:eastAsia="Arial" w:hAnsi="Arial"/>
          <w:b/>
          <w:bCs/>
          <w:color w:val="1A3A5C"/>
          <w:sz w:val="56"/>
          <w:szCs w:val="56"/>
        </w:rPr>
        <w:t xml:space="preserve">Client Rights, Confidentiality &amp; Abuse Prevention</w:t>
      </w:r>
    </w:p>
    <w:p>
      <w:pPr>
        <w:spacing w:after="0" w:before="120"/>
        <w:jc w:val="center"/>
      </w:pPr>
      <w:r>
        <w:rPr>
          <w:rFonts w:ascii="Arial" w:cs="Arial" w:eastAsia="Arial" w:hAnsi="Arial"/>
          <w:i/>
          <w:iCs/>
          <w:color w:val="555555"/>
          <w:sz w:val="26"/>
          <w:szCs w:val="26"/>
        </w:rPr>
        <w:t xml:space="preserve">Annual In-Service Continuing Education — Home Care Aide</w:t>
      </w:r>
    </w:p>
    <w:p>
      <w:pPr>
        <w:spacing w:after="0" w:before="300"/>
        <w:jc w:val="center"/>
      </w:pPr>
      <w:r>
        <w:rPr>
          <w:rFonts w:ascii="Arial" w:cs="Arial" w:eastAsia="Arial" w:hAnsi="Arial"/>
          <w:color w:val="555555"/>
          <w:sz w:val="24"/>
          <w:szCs w:val="24"/>
        </w:rPr>
        <w:t xml:space="preserve">4.0 Contact Hours  •  15 Questions  •  80% to Pass</w:t>
      </w:r>
    </w:p>
    <w:p>
      <w:pPr>
        <w:spacing w:after="0" w:before="120"/>
        <w:jc w:val="center"/>
      </w:pPr>
      <w:r>
        <w:rPr>
          <w:rFonts w:ascii="Arial" w:cs="Arial" w:eastAsia="Arial" w:hAnsi="Arial"/>
          <w:i/>
          <w:iCs/>
          <w:color w:val="777777"/>
          <w:sz w:val="20"/>
          <w:szCs w:val="20"/>
        </w:rPr>
        <w:t xml:space="preserve">Supervised by: Ismahan Ahmed, RN — Training Coordinator</w:t>
      </w:r>
    </w:p>
    <w:p>
      <w:pPr>
        <w:spacing w:after="0" w:before="1200"/>
        <w:jc w:val="center"/>
      </w:pPr>
      <w:r>
        <w:rPr>
          <w:rFonts w:ascii="Arial" w:cs="Arial" w:eastAsia="Arial" w:hAnsi="Arial"/>
          <w:i/>
          <w:iCs/>
          <w:color w:val="888888"/>
          <w:sz w:val="22"/>
          <w:szCs w:val="22"/>
        </w:rPr>
        <w:t xml:space="preserve">—  Study this material before taking the exam  —</w:t>
      </w:r>
    </w:p>
    <w:p>
      <w:r>
        <w:br w:type="page"/>
      </w:r>
    </w:p>
    <w:p>
      <w:pPr>
        <w:pStyle w:val="Heading1"/>
        <w:spacing w:after="160" w:before="320"/>
      </w:pPr>
      <w:r>
        <w:rPr>
          <w:rFonts w:ascii="Arial" w:cs="Arial" w:eastAsia="Arial" w:hAnsi="Arial"/>
          <w:b/>
          <w:bCs/>
          <w:color w:val="1A3A5C"/>
          <w:sz w:val="36"/>
          <w:szCs w:val="36"/>
        </w:rPr>
        <w:t xml:space="preserve">Introduction</w:t>
      </w:r>
    </w:p>
    <w:p>
      <w:pPr>
        <w:spacing w:after="60" w:before="60"/>
      </w:pPr>
      <w:r>
        <w:rPr>
          <w:rFonts w:ascii="Arial" w:cs="Arial" w:eastAsia="Arial" w:hAnsi="Arial"/>
          <w:sz w:val="22"/>
          <w:szCs w:val="22"/>
        </w:rPr>
        <w:t xml:space="preserve">Every client served by Advanced Home Care Connect has fundamental legal and ethical rights. As a home care aide, you play a critical role in upholding those rights and protecting clients from harm at all times.</w:t>
      </w:r>
    </w:p>
    <w:p>
      <w:pPr>
        <w:spacing w:after="60" w:before="60"/>
      </w:pPr>
      <w:r>
        <w:t xml:space="preserve"/>
      </w:r>
    </w:p>
    <w:p>
      <w:pPr>
        <w:pStyle w:val="Heading1"/>
        <w:spacing w:after="160" w:before="320"/>
      </w:pPr>
      <w:r>
        <w:rPr>
          <w:rFonts w:ascii="Arial" w:cs="Arial" w:eastAsia="Arial" w:hAnsi="Arial"/>
          <w:b/>
          <w:bCs/>
          <w:color w:val="1A3A5C"/>
          <w:sz w:val="36"/>
          <w:szCs w:val="36"/>
        </w:rPr>
        <w:t xml:space="preserve">1. Client Rights</w:t>
      </w:r>
    </w:p>
    <w:p>
      <w:pPr>
        <w:spacing w:after="60" w:before="60"/>
      </w:pPr>
      <w:r>
        <w:rPr>
          <w:rFonts w:ascii="Arial" w:cs="Arial" w:eastAsia="Arial" w:hAnsi="Arial"/>
          <w:sz w:val="22"/>
          <w:szCs w:val="22"/>
        </w:rPr>
        <w:t xml:space="preserve">The following rights belong to every client and must be respected without exception:</w:t>
      </w:r>
    </w:p>
    <w:p>
      <w:pPr>
        <w:pStyle w:val="ListParagraph"/>
        <w:numPr>
          <w:ilvl w:val="0"/>
          <w:numId w:val="2"/>
        </w:numPr>
        <w:spacing w:after="40" w:before="40"/>
      </w:pPr>
      <w:r>
        <w:rPr>
          <w:rFonts w:ascii="Arial" w:cs="Arial" w:eastAsia="Arial" w:hAnsi="Arial"/>
          <w:sz w:val="22"/>
          <w:szCs w:val="22"/>
        </w:rPr>
        <w:t xml:space="preserve">Right to be treated with dignity, respect, and courtesy at all times</w:t>
      </w:r>
    </w:p>
    <w:p>
      <w:pPr>
        <w:pStyle w:val="ListParagraph"/>
        <w:numPr>
          <w:ilvl w:val="0"/>
          <w:numId w:val="2"/>
        </w:numPr>
        <w:spacing w:after="40" w:before="40"/>
      </w:pPr>
      <w:r>
        <w:rPr>
          <w:rFonts w:ascii="Arial" w:cs="Arial" w:eastAsia="Arial" w:hAnsi="Arial"/>
          <w:sz w:val="22"/>
          <w:szCs w:val="22"/>
        </w:rPr>
        <w:t xml:space="preserve">Right to privacy in all personal care and personal matters</w:t>
      </w:r>
    </w:p>
    <w:p>
      <w:pPr>
        <w:pStyle w:val="ListParagraph"/>
        <w:numPr>
          <w:ilvl w:val="0"/>
          <w:numId w:val="2"/>
        </w:numPr>
        <w:spacing w:after="40" w:before="40"/>
      </w:pPr>
      <w:r>
        <w:rPr>
          <w:rFonts w:ascii="Arial" w:cs="Arial" w:eastAsia="Arial" w:hAnsi="Arial"/>
          <w:sz w:val="22"/>
          <w:szCs w:val="22"/>
        </w:rPr>
        <w:t xml:space="preserve">Right to make decisions about their own care — including the right to refuse</w:t>
      </w:r>
    </w:p>
    <w:p>
      <w:pPr>
        <w:pStyle w:val="ListParagraph"/>
        <w:numPr>
          <w:ilvl w:val="0"/>
          <w:numId w:val="2"/>
        </w:numPr>
        <w:spacing w:after="40" w:before="40"/>
      </w:pPr>
      <w:r>
        <w:rPr>
          <w:rFonts w:ascii="Arial" w:cs="Arial" w:eastAsia="Arial" w:hAnsi="Arial"/>
          <w:sz w:val="22"/>
          <w:szCs w:val="22"/>
        </w:rPr>
        <w:t xml:space="preserve">Right to receive care that follows their individualized care plan</w:t>
      </w:r>
    </w:p>
    <w:p>
      <w:pPr>
        <w:pStyle w:val="ListParagraph"/>
        <w:numPr>
          <w:ilvl w:val="0"/>
          <w:numId w:val="2"/>
        </w:numPr>
        <w:spacing w:after="40" w:before="40"/>
      </w:pPr>
      <w:r>
        <w:rPr>
          <w:rFonts w:ascii="Arial" w:cs="Arial" w:eastAsia="Arial" w:hAnsi="Arial"/>
          <w:sz w:val="22"/>
          <w:szCs w:val="22"/>
        </w:rPr>
        <w:t xml:space="preserve">Right to confidentiality of all health and personal information</w:t>
      </w:r>
    </w:p>
    <w:p>
      <w:pPr>
        <w:pStyle w:val="ListParagraph"/>
        <w:numPr>
          <w:ilvl w:val="0"/>
          <w:numId w:val="2"/>
        </w:numPr>
        <w:spacing w:after="40" w:before="40"/>
      </w:pPr>
      <w:r>
        <w:rPr>
          <w:rFonts w:ascii="Arial" w:cs="Arial" w:eastAsia="Arial" w:hAnsi="Arial"/>
          <w:sz w:val="22"/>
          <w:szCs w:val="22"/>
        </w:rPr>
        <w:t xml:space="preserve">Right to be free from all forms of abuse, neglect, and exploitation</w:t>
      </w:r>
    </w:p>
    <w:p>
      <w:pPr>
        <w:pStyle w:val="ListParagraph"/>
        <w:numPr>
          <w:ilvl w:val="0"/>
          <w:numId w:val="2"/>
        </w:numPr>
        <w:spacing w:after="40" w:before="40"/>
      </w:pPr>
      <w:r>
        <w:rPr>
          <w:rFonts w:ascii="Arial" w:cs="Arial" w:eastAsia="Arial" w:hAnsi="Arial"/>
          <w:sz w:val="22"/>
          <w:szCs w:val="22"/>
        </w:rPr>
        <w:t xml:space="preserve">Right to voice concerns or complaints without fear of retaliation</w:t>
      </w:r>
    </w:p>
    <w:p>
      <w:pPr>
        <w:pStyle w:val="ListParagraph"/>
        <w:numPr>
          <w:ilvl w:val="0"/>
          <w:numId w:val="2"/>
        </w:numPr>
        <w:spacing w:after="40" w:before="40"/>
      </w:pPr>
      <w:r>
        <w:rPr>
          <w:rFonts w:ascii="Arial" w:cs="Arial" w:eastAsia="Arial" w:hAnsi="Arial"/>
          <w:sz w:val="22"/>
          <w:szCs w:val="22"/>
        </w:rPr>
        <w:t xml:space="preserve">Right to have their cultural, religious, and personal preferences respected</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KEY POINT</w:t>
            </w:r>
          </w:p>
        </w:tc>
        <w:tc>
          <w:tcPr>
            <w:tcW w:type="dxa" w:w="8160"/>
            <w:tcBorders>
              <w:top w:val="single" w:color="CCCCCC" w:sz="1"/>
              <w:left w:val="single" w:color="CCCCCC" w:sz="1"/>
              <w:bottom w:val="single" w:color="CCCCCC" w:sz="1"/>
              <w:right w:val="single" w:color="CCCCCC" w:sz="1"/>
            </w:tcBorders>
            <w:shd w:fill="E8EEF5" w:val="clear"/>
            <w:tcMar>
              <w:top w:type="dxa" w:w="80"/>
              <w:left w:type="dxa" w:w="160"/>
              <w:bottom w:type="dxa" w:w="80"/>
              <w:right w:type="dxa" w:w="120"/>
            </w:tcMar>
          </w:tcPr>
          <w:p>
            <w:r>
              <w:rPr>
                <w:rFonts w:ascii="Arial" w:cs="Arial" w:eastAsia="Arial" w:hAnsi="Arial"/>
                <w:sz w:val="20"/>
                <w:szCs w:val="20"/>
              </w:rPr>
              <w:t xml:space="preserve">When a client refuses care, do NOT argue, pressure, or force the issue. Calmly acknowledge the refusal, document it in your visit notes, and notify your supervisor promptly.</w:t>
            </w:r>
          </w:p>
        </w:tc>
      </w:tr>
    </w:tbl>
    <w:p>
      <w:pPr>
        <w:spacing w:after="60" w:before="60"/>
      </w:pPr>
      <w:r>
        <w:t xml:space="preserve"/>
      </w:r>
    </w:p>
    <w:p>
      <w:pPr>
        <w:pStyle w:val="Heading1"/>
        <w:spacing w:after="160" w:before="320"/>
      </w:pPr>
      <w:r>
        <w:rPr>
          <w:rFonts w:ascii="Arial" w:cs="Arial" w:eastAsia="Arial" w:hAnsi="Arial"/>
          <w:b/>
          <w:bCs/>
          <w:color w:val="1A3A5C"/>
          <w:sz w:val="36"/>
          <w:szCs w:val="36"/>
        </w:rPr>
        <w:t xml:space="preserve">2. HIPAA and Confidentiality</w:t>
      </w:r>
    </w:p>
    <w:p>
      <w:pPr>
        <w:spacing w:after="60" w:before="60"/>
      </w:pPr>
      <w:r>
        <w:rPr>
          <w:rFonts w:ascii="Arial" w:cs="Arial" w:eastAsia="Arial" w:hAnsi="Arial"/>
          <w:sz w:val="22"/>
          <w:szCs w:val="22"/>
        </w:rPr>
        <w:t xml:space="preserve">The Health Insurance Portability and Accountability Act (HIPAA) is a federal law that protects the privacy and security of client health information. All AHCC employees are required to comply.</w:t>
      </w:r>
    </w:p>
    <w:p>
      <w:pPr>
        <w:spacing w:after="60" w:before="60"/>
      </w:pPr>
      <w:r>
        <w:t xml:space="preserve"/>
      </w:r>
    </w:p>
    <w:p>
      <w:pPr>
        <w:pStyle w:val="Heading2"/>
        <w:spacing w:after="120" w:before="240"/>
      </w:pPr>
      <w:r>
        <w:rPr>
          <w:rFonts w:ascii="Arial" w:cs="Arial" w:eastAsia="Arial" w:hAnsi="Arial"/>
          <w:b/>
          <w:bCs/>
          <w:color w:val="1A3A5C"/>
          <w:sz w:val="28"/>
          <w:szCs w:val="28"/>
        </w:rPr>
        <w:t xml:space="preserve">2.1 You Must NEVER:</w:t>
      </w:r>
    </w:p>
    <w:p>
      <w:pPr>
        <w:pStyle w:val="ListParagraph"/>
        <w:numPr>
          <w:ilvl w:val="0"/>
          <w:numId w:val="2"/>
        </w:numPr>
        <w:spacing w:after="40" w:before="40"/>
      </w:pPr>
      <w:r>
        <w:rPr>
          <w:rFonts w:ascii="Arial" w:cs="Arial" w:eastAsia="Arial" w:hAnsi="Arial"/>
          <w:sz w:val="22"/>
          <w:szCs w:val="22"/>
        </w:rPr>
        <w:t xml:space="preserve">Discuss a client's condition, diagnosis, or personal details with neighbors, friends, or non-authorized family members</w:t>
      </w:r>
    </w:p>
    <w:p>
      <w:pPr>
        <w:pStyle w:val="ListParagraph"/>
        <w:numPr>
          <w:ilvl w:val="0"/>
          <w:numId w:val="2"/>
        </w:numPr>
        <w:spacing w:after="40" w:before="40"/>
      </w:pPr>
      <w:r>
        <w:rPr>
          <w:rFonts w:ascii="Arial" w:cs="Arial" w:eastAsia="Arial" w:hAnsi="Arial"/>
          <w:sz w:val="22"/>
          <w:szCs w:val="22"/>
        </w:rPr>
        <w:t xml:space="preserve">Share any information about clients on social media — even without using their name</w:t>
      </w:r>
    </w:p>
    <w:p>
      <w:pPr>
        <w:pStyle w:val="ListParagraph"/>
        <w:numPr>
          <w:ilvl w:val="0"/>
          <w:numId w:val="2"/>
        </w:numPr>
        <w:spacing w:after="40" w:before="40"/>
      </w:pPr>
      <w:r>
        <w:rPr>
          <w:rFonts w:ascii="Arial" w:cs="Arial" w:eastAsia="Arial" w:hAnsi="Arial"/>
          <w:sz w:val="22"/>
          <w:szCs w:val="22"/>
        </w:rPr>
        <w:t xml:space="preserve">Leave client records, notes, or care plan documents visible to unauthorized persons</w:t>
      </w:r>
    </w:p>
    <w:p>
      <w:pPr>
        <w:pStyle w:val="ListParagraph"/>
        <w:numPr>
          <w:ilvl w:val="0"/>
          <w:numId w:val="2"/>
        </w:numPr>
        <w:spacing w:after="40" w:before="40"/>
      </w:pPr>
      <w:r>
        <w:rPr>
          <w:rFonts w:ascii="Arial" w:cs="Arial" w:eastAsia="Arial" w:hAnsi="Arial"/>
          <w:sz w:val="22"/>
          <w:szCs w:val="22"/>
        </w:rPr>
        <w:t xml:space="preserve">Access client information beyond what is required for your care assignment</w:t>
      </w:r>
    </w:p>
    <w:p>
      <w:pPr>
        <w:pStyle w:val="ListParagraph"/>
        <w:numPr>
          <w:ilvl w:val="0"/>
          <w:numId w:val="2"/>
        </w:numPr>
        <w:spacing w:after="40" w:before="40"/>
      </w:pPr>
      <w:r>
        <w:rPr>
          <w:rFonts w:ascii="Arial" w:cs="Arial" w:eastAsia="Arial" w:hAnsi="Arial"/>
          <w:sz w:val="22"/>
          <w:szCs w:val="22"/>
        </w:rPr>
        <w:t xml:space="preserve">Discuss client information in public places where it might be overheard</w:t>
      </w:r>
    </w:p>
    <w:p>
      <w:pPr>
        <w:spacing w:after="60" w:before="60"/>
      </w:pPr>
      <w:r>
        <w:t xml:space="preserve"/>
      </w:r>
    </w:p>
    <w:p>
      <w:pPr>
        <w:pStyle w:val="Heading2"/>
        <w:spacing w:after="120" w:before="240"/>
      </w:pPr>
      <w:r>
        <w:rPr>
          <w:rFonts w:ascii="Arial" w:cs="Arial" w:eastAsia="Arial" w:hAnsi="Arial"/>
          <w:b/>
          <w:bCs/>
          <w:color w:val="1A3A5C"/>
          <w:sz w:val="28"/>
          <w:szCs w:val="28"/>
        </w:rPr>
        <w:t xml:space="preserve">2.2 Confidentiality Limits</w:t>
      </w:r>
    </w:p>
    <w:p>
      <w:pPr>
        <w:spacing w:after="60" w:before="60"/>
      </w:pPr>
      <w:r>
        <w:rPr>
          <w:rFonts w:ascii="Arial" w:cs="Arial" w:eastAsia="Arial" w:hAnsi="Arial"/>
          <w:sz w:val="22"/>
          <w:szCs w:val="22"/>
        </w:rPr>
        <w:t xml:space="preserve">You cannot promise a client complete confidentiality. If a client shares information that suggests they are in danger of harming themselves or others, or that abuse or neglect is occurring, you are required by law to report it to your supervisor.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IMPORTANT</w:t>
            </w:r>
          </w:p>
        </w:tc>
        <w:tc>
          <w:tcPr>
            <w:tcW w:type="dxa" w:w="8160"/>
            <w:tcBorders>
              <w:top w:val="single" w:color="CCCCCC" w:sz="1"/>
              <w:left w:val="single" w:color="CCCCCC" w:sz="1"/>
              <w:bottom w:val="single" w:color="CCCCCC" w:sz="1"/>
              <w:right w:val="single" w:color="CCCCCC" w:sz="1"/>
            </w:tcBorders>
            <w:shd w:fill="E8EEF5" w:val="clear"/>
            <w:tcMar>
              <w:top w:type="dxa" w:w="80"/>
              <w:left w:type="dxa" w:w="160"/>
              <w:bottom w:type="dxa" w:w="80"/>
              <w:right w:type="dxa" w:w="120"/>
            </w:tcMar>
          </w:tcPr>
          <w:p>
            <w:r>
              <w:rPr>
                <w:rFonts w:ascii="Arial" w:cs="Arial" w:eastAsia="Arial" w:hAnsi="Arial"/>
                <w:sz w:val="20"/>
                <w:szCs w:val="20"/>
              </w:rPr>
              <w:t xml:space="preserve">Confidentiality obligations continue even after you stop working with a client. You may not share their information at any point in the future.</w:t>
            </w:r>
          </w:p>
        </w:tc>
      </w:tr>
    </w:tbl>
    <w:p>
      <w:pPr>
        <w:spacing w:after="60" w:before="60"/>
      </w:pPr>
      <w:r>
        <w:t xml:space="preserve"/>
      </w:r>
    </w:p>
    <w:p>
      <w:pPr>
        <w:pStyle w:val="Heading1"/>
        <w:spacing w:after="160" w:before="320"/>
      </w:pPr>
      <w:r>
        <w:rPr>
          <w:rFonts w:ascii="Arial" w:cs="Arial" w:eastAsia="Arial" w:hAnsi="Arial"/>
          <w:b/>
          <w:bCs/>
          <w:color w:val="1A3A5C"/>
          <w:sz w:val="36"/>
          <w:szCs w:val="36"/>
        </w:rPr>
        <w:t xml:space="preserve">3. Types of Abuse and Neglect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0"/>
                <w:szCs w:val="20"/>
              </w:rPr>
              <w:t xml:space="preserve">Type of Abuse</w:t>
            </w:r>
          </w:p>
        </w:tc>
        <w:tc>
          <w:tcPr>
            <w:tcW w:type="dxa" w:w="351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0"/>
                <w:szCs w:val="20"/>
              </w:rPr>
              <w:t xml:space="preserve">Definition</w:t>
            </w:r>
          </w:p>
        </w:tc>
        <w:tc>
          <w:tcPr>
            <w:tcW w:type="dxa" w:w="351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0"/>
                <w:szCs w:val="20"/>
              </w:rPr>
              <w:t xml:space="preserve">Examples</w:t>
            </w:r>
          </w:p>
        </w:tc>
      </w:tr>
      <w:tr>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Physical Abuse</w:t>
            </w:r>
          </w:p>
        </w:tc>
        <w:tc>
          <w:tcPr>
            <w:tcW w:type="dxa" w:w="351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Intentional infliction of physical pain or injury</w:t>
            </w:r>
          </w:p>
        </w:tc>
        <w:tc>
          <w:tcPr>
            <w:tcW w:type="dxa" w:w="351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Hitting, slapping, rough handling, improper use of restraints</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Emotional Abuse</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Verbal or psychological harm causing fear or distress</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Yelling, threatening, humiliating, isolating the client</w:t>
            </w:r>
          </w:p>
        </w:tc>
      </w:tr>
      <w:tr>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Financial Exploitation</w:t>
            </w:r>
          </w:p>
        </w:tc>
        <w:tc>
          <w:tcPr>
            <w:tcW w:type="dxa" w:w="351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Misuse or theft of a client's money or property</w:t>
            </w:r>
          </w:p>
        </w:tc>
        <w:tc>
          <w:tcPr>
            <w:tcW w:type="dxa" w:w="351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Borrowing money, theft, forging signatures, coercing changes to will</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Sexual Abuse</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Any non-consensual sexual contact or behavior</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Any unwanted sexual act, comment, or exposure</w:t>
            </w:r>
          </w:p>
        </w:tc>
      </w:tr>
      <w:tr>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Neglect</w:t>
            </w:r>
          </w:p>
        </w:tc>
        <w:tc>
          <w:tcPr>
            <w:tcW w:type="dxa" w:w="351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Failure to provide necessary care to meet basic needs</w:t>
            </w:r>
          </w:p>
        </w:tc>
        <w:tc>
          <w:tcPr>
            <w:tcW w:type="dxa" w:w="351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Withholding food, water, medications, hygiene assistance</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Self-Neglect</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Client's own behavior creates serious risk to health</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Refusing to eat, maintaining dangerous living conditions</w:t>
            </w:r>
          </w:p>
        </w:tc>
      </w:tr>
    </w:tbl>
    <w:p>
      <w:pPr>
        <w:spacing w:after="60" w:before="60"/>
      </w:pPr>
      <w:r>
        <w:t xml:space="preserve"/>
      </w:r>
    </w:p>
    <w:p>
      <w:pPr>
        <w:pStyle w:val="Heading1"/>
        <w:spacing w:after="160" w:before="320"/>
      </w:pPr>
      <w:r>
        <w:rPr>
          <w:rFonts w:ascii="Arial" w:cs="Arial" w:eastAsia="Arial" w:hAnsi="Arial"/>
          <w:b/>
          <w:bCs/>
          <w:color w:val="1A3A5C"/>
          <w:sz w:val="36"/>
          <w:szCs w:val="36"/>
        </w:rPr>
        <w:t xml:space="preserve">4. Recognizing Signs of Abuse</w:t>
      </w:r>
    </w:p>
    <w:p>
      <w:pPr>
        <w:pStyle w:val="ListParagraph"/>
        <w:numPr>
          <w:ilvl w:val="0"/>
          <w:numId w:val="2"/>
        </w:numPr>
        <w:spacing w:after="40" w:before="40"/>
      </w:pPr>
      <w:r>
        <w:rPr>
          <w:rFonts w:ascii="Arial" w:cs="Arial" w:eastAsia="Arial" w:hAnsi="Arial"/>
          <w:sz w:val="22"/>
          <w:szCs w:val="22"/>
        </w:rPr>
        <w:t xml:space="preserve">Unexplained bruises, burns, cuts, or injuries</w:t>
      </w:r>
    </w:p>
    <w:p>
      <w:pPr>
        <w:pStyle w:val="ListParagraph"/>
        <w:numPr>
          <w:ilvl w:val="0"/>
          <w:numId w:val="2"/>
        </w:numPr>
        <w:spacing w:after="40" w:before="40"/>
      </w:pPr>
      <w:r>
        <w:rPr>
          <w:rFonts w:ascii="Arial" w:cs="Arial" w:eastAsia="Arial" w:hAnsi="Arial"/>
          <w:sz w:val="22"/>
          <w:szCs w:val="22"/>
        </w:rPr>
        <w:t xml:space="preserve">Client appears fearful, withdrawn, or anxious around a specific person</w:t>
      </w:r>
    </w:p>
    <w:p>
      <w:pPr>
        <w:pStyle w:val="ListParagraph"/>
        <w:numPr>
          <w:ilvl w:val="0"/>
          <w:numId w:val="2"/>
        </w:numPr>
        <w:spacing w:after="40" w:before="40"/>
      </w:pPr>
      <w:r>
        <w:rPr>
          <w:rFonts w:ascii="Arial" w:cs="Arial" w:eastAsia="Arial" w:hAnsi="Arial"/>
          <w:sz w:val="22"/>
          <w:szCs w:val="22"/>
        </w:rPr>
        <w:t xml:space="preserve">Poor hygiene, weight loss, or unmet medical needs</w:t>
      </w:r>
    </w:p>
    <w:p>
      <w:pPr>
        <w:pStyle w:val="ListParagraph"/>
        <w:numPr>
          <w:ilvl w:val="0"/>
          <w:numId w:val="2"/>
        </w:numPr>
        <w:spacing w:after="40" w:before="40"/>
      </w:pPr>
      <w:r>
        <w:rPr>
          <w:rFonts w:ascii="Arial" w:cs="Arial" w:eastAsia="Arial" w:hAnsi="Arial"/>
          <w:sz w:val="22"/>
          <w:szCs w:val="22"/>
        </w:rPr>
        <w:t xml:space="preserve">Missing personal belongings or unexplained financial changes</w:t>
      </w:r>
    </w:p>
    <w:p>
      <w:pPr>
        <w:pStyle w:val="ListParagraph"/>
        <w:numPr>
          <w:ilvl w:val="0"/>
          <w:numId w:val="2"/>
        </w:numPr>
        <w:spacing w:after="40" w:before="40"/>
      </w:pPr>
      <w:r>
        <w:rPr>
          <w:rFonts w:ascii="Arial" w:cs="Arial" w:eastAsia="Arial" w:hAnsi="Arial"/>
          <w:sz w:val="22"/>
          <w:szCs w:val="22"/>
        </w:rPr>
        <w:t xml:space="preserve">Client reports mistreatment or makes comments suggesting fear</w:t>
      </w:r>
    </w:p>
    <w:p>
      <w:pPr>
        <w:spacing w:after="60" w:before="60"/>
      </w:pPr>
      <w:r>
        <w:t xml:space="preserve"/>
      </w:r>
    </w:p>
    <w:p>
      <w:pPr>
        <w:pStyle w:val="Heading1"/>
        <w:spacing w:after="160" w:before="320"/>
      </w:pPr>
      <w:r>
        <w:rPr>
          <w:rFonts w:ascii="Arial" w:cs="Arial" w:eastAsia="Arial" w:hAnsi="Arial"/>
          <w:b/>
          <w:bCs/>
          <w:color w:val="1A3A5C"/>
          <w:sz w:val="36"/>
          <w:szCs w:val="36"/>
        </w:rPr>
        <w:t xml:space="preserve">5. Mandatory Reporting</w:t>
      </w:r>
    </w:p>
    <w:p>
      <w:pPr>
        <w:spacing w:after="60" w:before="60"/>
      </w:pPr>
      <w:r>
        <w:rPr>
          <w:rFonts w:ascii="Arial" w:cs="Arial" w:eastAsia="Arial" w:hAnsi="Arial"/>
          <w:sz w:val="22"/>
          <w:szCs w:val="22"/>
        </w:rPr>
        <w:t xml:space="preserve">Virginia law designates home care aides as mandatory reporters of suspected abuse, neglect, or exploitation of vulnerable adults. This is a legal obligation — not optional.</w:t>
      </w:r>
    </w:p>
    <w:p>
      <w:pPr>
        <w:spacing w:after="60" w:before="60"/>
      </w:pPr>
      <w:r>
        <w:t xml:space="preserve"/>
      </w:r>
    </w:p>
    <w:p>
      <w:pPr>
        <w:pStyle w:val="Heading2"/>
        <w:spacing w:after="120" w:before="240"/>
      </w:pPr>
      <w:r>
        <w:rPr>
          <w:rFonts w:ascii="Arial" w:cs="Arial" w:eastAsia="Arial" w:hAnsi="Arial"/>
          <w:b/>
          <w:bCs/>
          <w:color w:val="1A3A5C"/>
          <w:sz w:val="28"/>
          <w:szCs w:val="28"/>
        </w:rPr>
        <w:t xml:space="preserve">5.1 Who to Report To:</w:t>
      </w:r>
    </w:p>
    <w:p>
      <w:pPr>
        <w:pStyle w:val="ListParagraph"/>
        <w:numPr>
          <w:ilvl w:val="0"/>
          <w:numId w:val="2"/>
        </w:numPr>
        <w:spacing w:after="40" w:before="40"/>
      </w:pPr>
      <w:r>
        <w:rPr>
          <w:rFonts w:ascii="Arial" w:cs="Arial" w:eastAsia="Arial" w:hAnsi="Arial"/>
          <w:sz w:val="22"/>
          <w:szCs w:val="22"/>
        </w:rPr>
        <w:t xml:space="preserve">Your immediate supervisor at Advanced Home Care Connect — always your first call</w:t>
      </w:r>
    </w:p>
    <w:p>
      <w:pPr>
        <w:pStyle w:val="ListParagraph"/>
        <w:numPr>
          <w:ilvl w:val="0"/>
          <w:numId w:val="2"/>
        </w:numPr>
        <w:spacing w:after="40" w:before="40"/>
      </w:pPr>
      <w:r>
        <w:rPr>
          <w:rFonts w:ascii="Arial" w:cs="Arial" w:eastAsia="Arial" w:hAnsi="Arial"/>
          <w:sz w:val="22"/>
          <w:szCs w:val="22"/>
        </w:rPr>
        <w:t xml:space="preserve">Adult Protective Services (APS): 1-888-832-3858</w:t>
      </w:r>
    </w:p>
    <w:p>
      <w:pPr>
        <w:pStyle w:val="ListParagraph"/>
        <w:numPr>
          <w:ilvl w:val="0"/>
          <w:numId w:val="2"/>
        </w:numPr>
        <w:spacing w:after="40" w:before="40"/>
      </w:pPr>
      <w:r>
        <w:rPr>
          <w:rFonts w:ascii="Arial" w:cs="Arial" w:eastAsia="Arial" w:hAnsi="Arial"/>
          <w:sz w:val="22"/>
          <w:szCs w:val="22"/>
        </w:rPr>
        <w:t xml:space="preserve">If the client is in immediate danger: Call 911 first, then notify your supervisor</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REMEMBER</w:t>
            </w:r>
          </w:p>
        </w:tc>
        <w:tc>
          <w:tcPr>
            <w:tcW w:type="dxa" w:w="8160"/>
            <w:tcBorders>
              <w:top w:val="single" w:color="CCCCCC" w:sz="1"/>
              <w:left w:val="single" w:color="CCCCCC" w:sz="1"/>
              <w:bottom w:val="single" w:color="CCCCCC" w:sz="1"/>
              <w:right w:val="single" w:color="CCCCCC" w:sz="1"/>
            </w:tcBorders>
            <w:shd w:fill="E8EEF5" w:val="clear"/>
            <w:tcMar>
              <w:top w:type="dxa" w:w="80"/>
              <w:left w:type="dxa" w:w="160"/>
              <w:bottom w:type="dxa" w:w="80"/>
              <w:right w:type="dxa" w:w="120"/>
            </w:tcMar>
          </w:tcPr>
          <w:p>
            <w:r>
              <w:rPr>
                <w:rFonts w:ascii="Arial" w:cs="Arial" w:eastAsia="Arial" w:hAnsi="Arial"/>
                <w:sz w:val="20"/>
                <w:szCs w:val="20"/>
              </w:rPr>
              <w:t xml:space="preserve">You do not need proof of abuse to report — only a reasonable suspicion. It is NOT your job to investigate. It is your job to report. Failure to report is a violation of Virginia law.</w:t>
            </w:r>
          </w:p>
        </w:tc>
      </w:tr>
    </w:tbl>
    <w:p>
      <w:pPr>
        <w:spacing w:after="60" w:before="60"/>
      </w:pPr>
      <w:r>
        <w:t xml:space="preserve"/>
      </w:r>
    </w:p>
    <w:p>
      <w:pPr>
        <w:pStyle w:val="Heading1"/>
        <w:spacing w:after="160" w:before="320"/>
      </w:pPr>
      <w:r>
        <w:rPr>
          <w:rFonts w:ascii="Arial" w:cs="Arial" w:eastAsia="Arial" w:hAnsi="Arial"/>
          <w:b/>
          <w:bCs/>
          <w:color w:val="1A3A5C"/>
          <w:sz w:val="36"/>
          <w:szCs w:val="36"/>
        </w:rPr>
        <w:t xml:space="preserve">6. Professional Boundaries</w:t>
      </w:r>
    </w:p>
    <w:p>
      <w:pPr>
        <w:pStyle w:val="ListParagraph"/>
        <w:numPr>
          <w:ilvl w:val="0"/>
          <w:numId w:val="2"/>
        </w:numPr>
        <w:spacing w:after="40" w:before="40"/>
      </w:pPr>
      <w:r>
        <w:rPr>
          <w:rFonts w:ascii="Arial" w:cs="Arial" w:eastAsia="Arial" w:hAnsi="Arial"/>
          <w:sz w:val="22"/>
          <w:szCs w:val="22"/>
        </w:rPr>
        <w:t xml:space="preserve">Never accept gifts, money, or loans from clients</w:t>
      </w:r>
    </w:p>
    <w:p>
      <w:pPr>
        <w:pStyle w:val="ListParagraph"/>
        <w:numPr>
          <w:ilvl w:val="0"/>
          <w:numId w:val="2"/>
        </w:numPr>
        <w:spacing w:after="40" w:before="40"/>
      </w:pPr>
      <w:r>
        <w:rPr>
          <w:rFonts w:ascii="Arial" w:cs="Arial" w:eastAsia="Arial" w:hAnsi="Arial"/>
          <w:sz w:val="22"/>
          <w:szCs w:val="22"/>
        </w:rPr>
        <w:t xml:space="preserve">Never borrow items from a client's home</w:t>
      </w:r>
    </w:p>
    <w:p>
      <w:pPr>
        <w:pStyle w:val="ListParagraph"/>
        <w:numPr>
          <w:ilvl w:val="0"/>
          <w:numId w:val="2"/>
        </w:numPr>
        <w:spacing w:after="40" w:before="40"/>
      </w:pPr>
      <w:r>
        <w:rPr>
          <w:rFonts w:ascii="Arial" w:cs="Arial" w:eastAsia="Arial" w:hAnsi="Arial"/>
          <w:sz w:val="22"/>
          <w:szCs w:val="22"/>
        </w:rPr>
        <w:t xml:space="preserve">Do not develop personal or romantic relationships with clients</w:t>
      </w:r>
    </w:p>
    <w:p>
      <w:pPr>
        <w:pStyle w:val="ListParagraph"/>
        <w:numPr>
          <w:ilvl w:val="0"/>
          <w:numId w:val="2"/>
        </w:numPr>
        <w:spacing w:after="40" w:before="40"/>
      </w:pPr>
      <w:r>
        <w:rPr>
          <w:rFonts w:ascii="Arial" w:cs="Arial" w:eastAsia="Arial" w:hAnsi="Arial"/>
          <w:sz w:val="22"/>
          <w:szCs w:val="22"/>
        </w:rPr>
        <w:t xml:space="preserve">Do not share excessive personal information about yourself with clients</w:t>
      </w:r>
    </w:p>
    <w:p>
      <w:pPr>
        <w:pStyle w:val="ListParagraph"/>
        <w:numPr>
          <w:ilvl w:val="0"/>
          <w:numId w:val="2"/>
        </w:numPr>
        <w:spacing w:after="40" w:before="40"/>
      </w:pPr>
      <w:r>
        <w:rPr>
          <w:rFonts w:ascii="Arial" w:cs="Arial" w:eastAsia="Arial" w:hAnsi="Arial"/>
          <w:sz w:val="22"/>
          <w:szCs w:val="22"/>
        </w:rPr>
        <w:t xml:space="preserve">Maintain professional behavior at all times, even in a home setting</w:t>
      </w:r>
    </w:p>
    <w:p>
      <w:pPr>
        <w:spacing w:after="60" w:before="60"/>
      </w:pPr>
      <w:r>
        <w:t xml:space="preserve"/>
      </w:r>
    </w:p>
    <w:p>
      <w:pPr>
        <w:pBdr>
          <w:bottom w:val="single" w:color="1A3A5C" w:sz="6" w:space="1"/>
        </w:pBdr>
        <w:spacing w:after="120" w:before="120"/>
      </w:pPr>
      <w:r>
        <w:t xml:space="preserve"/>
      </w:r>
    </w:p>
    <w:p>
      <w:pPr>
        <w:spacing w:after="0" w:before="240"/>
        <w:jc w:val="center"/>
      </w:pPr>
      <w:r>
        <w:rPr>
          <w:rFonts w:ascii="Arial" w:cs="Arial" w:eastAsia="Arial" w:hAnsi="Arial"/>
          <w:b/>
          <w:bCs/>
          <w:color w:val="1A3A5C"/>
          <w:sz w:val="26"/>
          <w:szCs w:val="26"/>
        </w:rPr>
        <w:t xml:space="preserve">You are ready to take Part 2 of the exam.</w:t>
      </w:r>
    </w:p>
    <w:p>
      <w:pPr>
        <w:spacing w:after="0" w:before="80"/>
        <w:jc w:val="center"/>
      </w:pPr>
      <w:r>
        <w:rPr>
          <w:rFonts w:ascii="Arial" w:cs="Arial" w:eastAsia="Arial" w:hAnsi="Arial"/>
          <w:i/>
          <w:iCs/>
          <w:color w:val="777777"/>
          <w:sz w:val="20"/>
          <w:szCs w:val="20"/>
        </w:rPr>
        <w:t xml:space="preserve">Log into the AHCC Employee CE Portal • Select Part 2 • Passing score: 80% (12/15 correct)</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3A5C" w:sz="4" w:space="1"/>
      </w:pBdr>
      <w:tabs>
        <w:tab w:val="right" w:pos="9026"/>
      </w:tabs>
      <w:spacing w:before="80"/>
    </w:pPr>
    <w:r>
      <w:rPr>
        <w:rFonts w:ascii="Arial" w:cs="Arial" w:eastAsia="Arial" w:hAnsi="Arial"/>
        <w:color w:val="888888"/>
        <w:sz w:val="16"/>
        <w:szCs w:val="16"/>
      </w:rPr>
      <w:t xml:space="preserve">AHCC • 12VAC5-381-360(G) • Confidential</w:t>
    </w:r>
    <w:r>
      <w:rPr>
        <w:rFonts w:ascii="Arial" w:cs="Arial" w:eastAsia="Arial" w:hAnsi="Arial"/>
        <w:color w:val="888888"/>
        <w:sz w:val="16"/>
        <w:szCs w:val="16"/>
      </w:rPr>
      <w:t xml:space="preserve">	Page </w:t>
    </w:r>
    <w:r>
      <w:rPr>
        <w:rFonts w:ascii="Arial" w:cs="Arial" w:eastAsia="Arial" w:hAnsi="Arial"/>
        <w:color w:val="888888"/>
        <w:sz w:val="16"/>
        <w:szCs w:val="16"/>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A5C" w:sz="4" w:space="1"/>
      </w:pBdr>
      <w:spacing w:after="80"/>
    </w:pPr>
    <w:r>
      <w:rPr>
        <w:rFonts w:ascii="Arial" w:cs="Arial" w:eastAsia="Arial" w:hAnsi="Arial"/>
        <w:b/>
        <w:bCs/>
        <w:color w:val="1A3A5C"/>
        <w:sz w:val="18"/>
        <w:szCs w:val="18"/>
      </w:rPr>
      <w:t xml:space="preserve">ADVANCED HOME CARE CONNECT</w:t>
    </w:r>
    <w:r>
      <w:rPr>
        <w:rFonts w:ascii="Arial" w:cs="Arial" w:eastAsia="Arial" w:hAnsi="Arial"/>
        <w:color w:val="666666"/>
        <w:sz w:val="18"/>
        <w:szCs w:val="18"/>
      </w:rPr>
      <w:t xml:space="preserve">    |    Client Rights, Confidentiality &amp; Abuse Prevention — Study Manual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A3A5C"/>
      <w:sz w:val="36"/>
      <w:szCs w:val="36"/>
    </w:rPr>
  </w:style>
  <w:style w:type="paragraph" w:styleId="Heading2">
    <w:name w:val="Heading 2"/>
    <w:basedOn w:val="Normal"/>
    <w:next w:val="Normal"/>
    <w:qFormat/>
    <w:pPr>
      <w:spacing w:after="120" w:before="240"/>
      <w:outlineLvl w:val="1"/>
    </w:pPr>
    <w:rPr>
      <w:rFonts w:ascii="Arial" w:cs="Arial" w:eastAsia="Arial" w:hAnsi="Arial"/>
      <w:b/>
      <w:bCs/>
      <w:color w:val="1A3A5C"/>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2026-06-06T20:02:03.723Z</dcterms:created>
  <dcterms:modified xsi:type="dcterms:W3CDTF">2026-06-06T20:02:03.723Z</dcterms:modified>
</cp:coreProperties>
</file>

<file path=docProps/custom.xml><?xml version="1.0" encoding="utf-8"?>
<Properties xmlns="http://schemas.openxmlformats.org/officeDocument/2006/custom-properties" xmlns:vt="http://schemas.openxmlformats.org/officeDocument/2006/docPropsVTypes"/>
</file>